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5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tblGrid>
      <w:tr w:rsidR="00EA669D" w:rsidRPr="00A25E71" w:rsidTr="00A80DD2">
        <w:tc>
          <w:tcPr>
            <w:tcW w:w="4315" w:type="dxa"/>
          </w:tcPr>
          <w:p w:rsidR="00EA669D" w:rsidRPr="00A25E71" w:rsidRDefault="00EA669D" w:rsidP="00321C8F">
            <w:pPr>
              <w:spacing w:before="240"/>
              <w:jc w:val="right"/>
              <w:rPr>
                <w:rFonts w:ascii="Palatino Linotype" w:hAnsi="Palatino Linotype" w:cs="Times New Roman"/>
                <w:b/>
                <w:lang w:val="az-Latn-AZ"/>
              </w:rPr>
            </w:pPr>
            <w:r w:rsidRPr="00A25E71">
              <w:rPr>
                <w:rFonts w:ascii="Palatino Linotype" w:hAnsi="Palatino Linotype" w:cs="Times New Roman"/>
                <w:b/>
                <w:lang w:val="az-Latn-AZ"/>
              </w:rPr>
              <w:t xml:space="preserve">01.10.2023-cü il tarixli Kompleks Bank Xidmətləri Müqaviləsinə </w:t>
            </w:r>
          </w:p>
          <w:p w:rsidR="00EA669D" w:rsidRPr="00A25E71" w:rsidRDefault="00EA0758" w:rsidP="00321C8F">
            <w:pPr>
              <w:spacing w:before="240"/>
              <w:jc w:val="right"/>
              <w:rPr>
                <w:rFonts w:ascii="Palatino Linotype" w:hAnsi="Palatino Linotype"/>
                <w:b/>
                <w:lang w:val="az-Latn-AZ"/>
              </w:rPr>
            </w:pPr>
            <w:r w:rsidRPr="00A25E71">
              <w:rPr>
                <w:rFonts w:ascii="Palatino Linotype" w:hAnsi="Palatino Linotype" w:cs="Times New Roman"/>
                <w:b/>
                <w:lang w:val="az-Latn-AZ"/>
              </w:rPr>
              <w:t>2</w:t>
            </w:r>
            <w:r w:rsidR="00EA669D" w:rsidRPr="00A25E71">
              <w:rPr>
                <w:rFonts w:ascii="Palatino Linotype" w:hAnsi="Palatino Linotype" w:cs="Times New Roman"/>
                <w:b/>
                <w:lang w:val="az-Latn-AZ"/>
              </w:rPr>
              <w:t xml:space="preserve"> saylı əlavə razılaşma</w:t>
            </w:r>
          </w:p>
          <w:p w:rsidR="00EA669D" w:rsidRPr="00A25E71" w:rsidRDefault="00EA669D" w:rsidP="00321C8F">
            <w:pPr>
              <w:spacing w:before="240"/>
              <w:jc w:val="right"/>
              <w:rPr>
                <w:rFonts w:ascii="Palatino Linotype" w:hAnsi="Palatino Linotype"/>
                <w:b/>
                <w:lang w:val="az-Latn-AZ"/>
              </w:rPr>
            </w:pPr>
          </w:p>
        </w:tc>
      </w:tr>
    </w:tbl>
    <w:p w:rsidR="00EA669D" w:rsidRPr="00A25E71" w:rsidRDefault="00365CEB" w:rsidP="00321C8F">
      <w:pPr>
        <w:spacing w:before="240"/>
        <w:jc w:val="both"/>
        <w:rPr>
          <w:rFonts w:ascii="Palatino Linotype" w:hAnsi="Palatino Linotype"/>
          <w:lang w:val="az-Latn-AZ"/>
        </w:rPr>
      </w:pPr>
      <w:r w:rsidRPr="00A25E71">
        <w:rPr>
          <w:rFonts w:ascii="Palatino Linotype" w:hAnsi="Palatino Linotype" w:cs="Times New Roman"/>
          <w:lang w:val="az-Latn-AZ"/>
        </w:rPr>
        <w:t xml:space="preserve">1. </w:t>
      </w:r>
      <w:r w:rsidR="00EA669D" w:rsidRPr="00A25E71">
        <w:rPr>
          <w:rFonts w:ascii="Palatino Linotype" w:hAnsi="Palatino Linotype" w:cs="Times New Roman"/>
          <w:lang w:val="az-Latn-AZ"/>
        </w:rPr>
        <w:t xml:space="preserve">01.10.2023-cü il tarixli, </w:t>
      </w:r>
      <w:r w:rsidR="00EA669D" w:rsidRPr="00A25E71">
        <w:rPr>
          <w:rFonts w:ascii="Palatino Linotype" w:hAnsi="Palatino Linotype" w:cs="Times New Roman"/>
          <w:lang w:val="az-Latn-AZ"/>
        </w:rPr>
        <w:softHyphen/>
      </w:r>
      <w:r w:rsidR="00EA669D" w:rsidRPr="00A25E71">
        <w:rPr>
          <w:rFonts w:ascii="Palatino Linotype" w:hAnsi="Palatino Linotype"/>
          <w:lang w:val="az-Latn-AZ"/>
        </w:rPr>
        <w:t xml:space="preserve"> </w:t>
      </w:r>
      <w:hyperlink r:id="rId7" w:history="1">
        <w:r w:rsidR="00EA669D" w:rsidRPr="00A25E71">
          <w:rPr>
            <w:rStyle w:val="Hyperlink"/>
            <w:rFonts w:ascii="Palatino Linotype" w:hAnsi="Palatino Linotype" w:cs="Times New Roman"/>
            <w:lang w:val="az-Latn-AZ"/>
          </w:rPr>
          <w:t>https://www.bankrespublika.az/az/pages/kompleks-bank-xidmeti-muqavilesi_1310</w:t>
        </w:r>
      </w:hyperlink>
      <w:r w:rsidR="00EA669D" w:rsidRPr="00A25E71">
        <w:rPr>
          <w:rFonts w:ascii="Palatino Linotype" w:hAnsi="Palatino Linotype" w:cs="Times New Roman"/>
          <w:lang w:val="az-Latn-AZ"/>
        </w:rPr>
        <w:t xml:space="preserve"> internet saytında yerləşdirilən, </w:t>
      </w:r>
      <w:r w:rsidR="00EA0758" w:rsidRPr="00A25E71">
        <w:rPr>
          <w:rFonts w:ascii="Palatino Linotype" w:hAnsi="Palatino Linotype" w:cs="Times New Roman"/>
          <w:lang w:val="az-Latn-AZ"/>
        </w:rPr>
        <w:t>hüquqi şəxslər</w:t>
      </w:r>
      <w:r w:rsidR="00EA669D" w:rsidRPr="00A25E71">
        <w:rPr>
          <w:rFonts w:ascii="Palatino Linotype" w:hAnsi="Palatino Linotype" w:cs="Times New Roman"/>
          <w:lang w:val="az-Latn-AZ"/>
        </w:rPr>
        <w:t xml:space="preserve"> üçün nəzərdə tutulan Kompleks Bank Xidmətləri Müqaviləsinə </w:t>
      </w:r>
      <w:r w:rsidR="00EA669D" w:rsidRPr="00A25E71">
        <w:rPr>
          <w:rFonts w:ascii="Palatino Linotype" w:hAnsi="Palatino Linotype" w:cs="Times New Roman"/>
          <w:b/>
          <w:lang w:val="az-Latn-AZ"/>
        </w:rPr>
        <w:t>(“Müqavilə”)</w:t>
      </w:r>
      <w:r w:rsidR="00EA669D" w:rsidRPr="00A25E71">
        <w:rPr>
          <w:rFonts w:ascii="Palatino Linotype" w:hAnsi="Palatino Linotype" w:cs="Times New Roman"/>
          <w:lang w:val="az-Latn-AZ"/>
        </w:rPr>
        <w:t xml:space="preserve"> aşağıdakı qaydada dəyişiklik edilsin:</w:t>
      </w:r>
    </w:p>
    <w:p w:rsidR="00EA669D" w:rsidRPr="00A25E71" w:rsidRDefault="00365CEB" w:rsidP="00321C8F">
      <w:pPr>
        <w:spacing w:before="240"/>
        <w:ind w:firstLine="360"/>
        <w:jc w:val="both"/>
        <w:rPr>
          <w:rFonts w:ascii="Palatino Linotype" w:hAnsi="Palatino Linotype"/>
          <w:lang w:val="az-Latn-AZ"/>
        </w:rPr>
      </w:pPr>
      <w:r w:rsidRPr="00A25E71">
        <w:rPr>
          <w:rFonts w:ascii="Palatino Linotype" w:hAnsi="Palatino Linotype" w:cs="Times New Roman"/>
          <w:lang w:val="az-Latn-AZ"/>
        </w:rPr>
        <w:t xml:space="preserve">1.1. </w:t>
      </w:r>
      <w:r w:rsidR="00EA669D" w:rsidRPr="00A25E71">
        <w:rPr>
          <w:rFonts w:ascii="Palatino Linotype" w:hAnsi="Palatino Linotype" w:cs="Times New Roman"/>
          <w:lang w:val="az-Latn-AZ"/>
        </w:rPr>
        <w:t xml:space="preserve"> Müqavilə</w:t>
      </w:r>
      <w:r w:rsidR="00985239" w:rsidRPr="00A25E71">
        <w:rPr>
          <w:rFonts w:ascii="Palatino Linotype" w:hAnsi="Palatino Linotype" w:cs="Times New Roman"/>
          <w:lang w:val="az-Latn-AZ"/>
        </w:rPr>
        <w:t>nin 9</w:t>
      </w:r>
      <w:r w:rsidR="008B0297" w:rsidRPr="00A25E71">
        <w:rPr>
          <w:rFonts w:ascii="Palatino Linotype" w:hAnsi="Palatino Linotype" w:cs="Times New Roman"/>
          <w:lang w:val="az-Latn-AZ"/>
        </w:rPr>
        <w:t>.6.3.3-cü</w:t>
      </w:r>
      <w:r w:rsidR="00EA669D" w:rsidRPr="00A25E71">
        <w:rPr>
          <w:rFonts w:ascii="Palatino Linotype" w:hAnsi="Palatino Linotype" w:cs="Times New Roman"/>
          <w:lang w:val="az-Latn-AZ"/>
        </w:rPr>
        <w:t xml:space="preserve"> yarımbəndi aşağıdakı redaksiyada verilsin:</w:t>
      </w:r>
    </w:p>
    <w:p w:rsidR="008B0297" w:rsidRPr="00A25E71" w:rsidRDefault="00985239" w:rsidP="00321C8F">
      <w:pPr>
        <w:pStyle w:val="ListParagraph"/>
        <w:spacing w:before="240" w:line="360" w:lineRule="auto"/>
        <w:jc w:val="both"/>
        <w:rPr>
          <w:rFonts w:ascii="Palatino Linotype" w:hAnsi="Palatino Linotype" w:cs="Times New Roman"/>
          <w:i/>
          <w:lang w:val="az-Latn-AZ"/>
        </w:rPr>
      </w:pPr>
      <w:r w:rsidRPr="00A25E71">
        <w:rPr>
          <w:rFonts w:ascii="Palatino Linotype" w:hAnsi="Palatino Linotype" w:cs="Times New Roman"/>
          <w:i/>
          <w:lang w:val="az-Latn-AZ"/>
        </w:rPr>
        <w:t>“9</w:t>
      </w:r>
      <w:r w:rsidR="008B0297" w:rsidRPr="00A25E71">
        <w:rPr>
          <w:rFonts w:ascii="Palatino Linotype" w:hAnsi="Palatino Linotype" w:cs="Times New Roman"/>
          <w:i/>
          <w:lang w:val="az-Latn-AZ"/>
        </w:rPr>
        <w:t xml:space="preserve">.6.3.3. Borcalan sahibkarlıq subyekti olduqda, Bankın fəaliyyət növünü və kreditin verilməsi üçün Bankın sərf etdiyi resursların (vaxt, işçi qüvvəsi, maliyyə vəsaiti, ehtiyatların yaradılması və s.) effektiv idarəetməsini nəzərə alaraq, Borcalan ödəniş </w:t>
      </w:r>
      <w:r w:rsidR="00F56E6A" w:rsidRPr="00A25E71">
        <w:rPr>
          <w:rFonts w:ascii="Palatino Linotype" w:hAnsi="Palatino Linotype" w:cs="Times New Roman"/>
          <w:i/>
          <w:lang w:val="az-Latn-AZ"/>
        </w:rPr>
        <w:t>cədvəli</w:t>
      </w:r>
      <w:r w:rsidR="008B0297" w:rsidRPr="00A25E71">
        <w:rPr>
          <w:rFonts w:ascii="Palatino Linotype" w:hAnsi="Palatino Linotype" w:cs="Times New Roman"/>
          <w:i/>
          <w:lang w:val="az-Latn-AZ"/>
        </w:rPr>
        <w:t xml:space="preserve"> üzrə ödəməli olduğu </w:t>
      </w:r>
      <w:r w:rsidR="00F56E6A" w:rsidRPr="00A25E71">
        <w:rPr>
          <w:rFonts w:ascii="Palatino Linotype" w:hAnsi="Palatino Linotype" w:cs="Times New Roman"/>
          <w:i/>
          <w:lang w:val="az-Latn-AZ"/>
        </w:rPr>
        <w:t>aylıq</w:t>
      </w:r>
      <w:r w:rsidR="008B0297" w:rsidRPr="00A25E71">
        <w:rPr>
          <w:rFonts w:ascii="Palatino Linotype" w:hAnsi="Palatino Linotype" w:cs="Times New Roman"/>
          <w:i/>
          <w:lang w:val="az-Latn-AZ"/>
        </w:rPr>
        <w:t xml:space="preserve"> məbləğin 20 (iyirmi) faizindən çox hissəsini vaxtından əvvəl qaytardıqda və bu Müqaviləyə uyğun olaraq həmin vəsait əsas borcun ödənilməsinə yönəldildikdə Bank aşağıdakı məbləğlərdə komissiya haqqının ödənilməsini tələb edə bilər:</w:t>
      </w:r>
    </w:p>
    <w:p w:rsidR="008B0297" w:rsidRPr="00A25E71" w:rsidRDefault="00985239" w:rsidP="00321C8F">
      <w:pPr>
        <w:pStyle w:val="ListParagraph"/>
        <w:spacing w:before="240" w:line="360" w:lineRule="auto"/>
        <w:ind w:left="1440"/>
        <w:jc w:val="both"/>
        <w:rPr>
          <w:rFonts w:ascii="Palatino Linotype" w:hAnsi="Palatino Linotype" w:cs="Times New Roman"/>
          <w:i/>
          <w:lang w:val="az-Latn-AZ"/>
        </w:rPr>
      </w:pPr>
      <w:r w:rsidRPr="00A25E71">
        <w:rPr>
          <w:rFonts w:ascii="Palatino Linotype" w:hAnsi="Palatino Linotype" w:cs="Times New Roman"/>
          <w:i/>
          <w:lang w:val="az-Latn-AZ"/>
        </w:rPr>
        <w:t>9</w:t>
      </w:r>
      <w:r w:rsidR="008B0297" w:rsidRPr="00A25E71">
        <w:rPr>
          <w:rFonts w:ascii="Palatino Linotype" w:hAnsi="Palatino Linotype" w:cs="Times New Roman"/>
          <w:i/>
          <w:lang w:val="az-Latn-AZ"/>
        </w:rPr>
        <w:t>.6.3.3.1.</w:t>
      </w:r>
      <w:r w:rsidR="008B0297" w:rsidRPr="00A25E71">
        <w:rPr>
          <w:rFonts w:ascii="Palatino Linotype" w:hAnsi="Palatino Linotype" w:cs="Times New Roman"/>
          <w:i/>
          <w:lang w:val="az-Latn-AZ"/>
        </w:rPr>
        <w:tab/>
        <w:t>Aqro və (və ya) mikro kreditlər üzrə -  aşağıdakılardan daha az olan məbləği:</w:t>
      </w:r>
    </w:p>
    <w:p w:rsidR="008B0297" w:rsidRPr="00A25E71" w:rsidRDefault="00985239" w:rsidP="00321C8F">
      <w:pPr>
        <w:pStyle w:val="ListParagraph"/>
        <w:spacing w:before="240" w:line="360" w:lineRule="auto"/>
        <w:ind w:left="2160"/>
        <w:jc w:val="both"/>
        <w:rPr>
          <w:rFonts w:ascii="Palatino Linotype" w:hAnsi="Palatino Linotype" w:cs="Times New Roman"/>
          <w:i/>
          <w:lang w:val="az-Latn-AZ"/>
        </w:rPr>
      </w:pPr>
      <w:r w:rsidRPr="00A25E71">
        <w:rPr>
          <w:rFonts w:ascii="Palatino Linotype" w:hAnsi="Palatino Linotype" w:cs="Times New Roman"/>
          <w:i/>
          <w:lang w:val="az-Latn-AZ"/>
        </w:rPr>
        <w:t>9</w:t>
      </w:r>
      <w:r w:rsidR="008B0297" w:rsidRPr="00A25E71">
        <w:rPr>
          <w:rFonts w:ascii="Palatino Linotype" w:hAnsi="Palatino Linotype" w:cs="Times New Roman"/>
          <w:i/>
          <w:lang w:val="az-Latn-AZ"/>
        </w:rPr>
        <w:t>.6.3.3.1.1.</w:t>
      </w:r>
      <w:r w:rsidR="008B0297" w:rsidRPr="00A25E71">
        <w:rPr>
          <w:rFonts w:ascii="Palatino Linotype" w:hAnsi="Palatino Linotype" w:cs="Times New Roman"/>
          <w:i/>
          <w:lang w:val="az-Latn-AZ"/>
        </w:rPr>
        <w:tab/>
        <w:t>Müddətin sonunadək ödəniş cədvəlində göstərilmiş və ödənilməmiş bütün faiz məbləğləri; və ya</w:t>
      </w:r>
    </w:p>
    <w:p w:rsidR="008B0297" w:rsidRPr="00A25E71" w:rsidRDefault="00985239" w:rsidP="00321C8F">
      <w:pPr>
        <w:pStyle w:val="ListParagraph"/>
        <w:spacing w:before="240" w:line="360" w:lineRule="auto"/>
        <w:ind w:left="1440" w:firstLine="720"/>
        <w:jc w:val="both"/>
        <w:rPr>
          <w:rFonts w:ascii="Palatino Linotype" w:hAnsi="Palatino Linotype" w:cs="Times New Roman"/>
          <w:i/>
          <w:lang w:val="az-Latn-AZ"/>
        </w:rPr>
      </w:pPr>
      <w:r w:rsidRPr="00A25E71">
        <w:rPr>
          <w:rFonts w:ascii="Palatino Linotype" w:hAnsi="Palatino Linotype" w:cs="Times New Roman"/>
          <w:i/>
          <w:lang w:val="az-Latn-AZ"/>
        </w:rPr>
        <w:t>9</w:t>
      </w:r>
      <w:r w:rsidR="008B0297" w:rsidRPr="00A25E71">
        <w:rPr>
          <w:rFonts w:ascii="Palatino Linotype" w:hAnsi="Palatino Linotype" w:cs="Times New Roman"/>
          <w:i/>
          <w:lang w:val="az-Latn-AZ"/>
        </w:rPr>
        <w:t>.6.3.3.1.2.</w:t>
      </w:r>
      <w:r w:rsidR="008B0297" w:rsidRPr="00A25E71">
        <w:rPr>
          <w:rFonts w:ascii="Palatino Linotype" w:hAnsi="Palatino Linotype" w:cs="Times New Roman"/>
          <w:i/>
          <w:lang w:val="az-Latn-AZ"/>
        </w:rPr>
        <w:tab/>
        <w:t xml:space="preserve">Ödəniş cədvəlində olan növbəti 2 (iki) ayın faiz borcu. </w:t>
      </w:r>
    </w:p>
    <w:p w:rsidR="00985239" w:rsidRPr="00A25E71" w:rsidRDefault="00985239" w:rsidP="00321C8F">
      <w:pPr>
        <w:pStyle w:val="ListParagraph"/>
        <w:spacing w:before="240" w:line="360" w:lineRule="auto"/>
        <w:ind w:left="1440"/>
        <w:jc w:val="both"/>
        <w:rPr>
          <w:rFonts w:ascii="Palatino Linotype" w:hAnsi="Palatino Linotype" w:cs="Times New Roman"/>
          <w:i/>
          <w:lang w:val="az-Latn-AZ"/>
        </w:rPr>
      </w:pPr>
      <w:r w:rsidRPr="00A25E71">
        <w:rPr>
          <w:rFonts w:ascii="Palatino Linotype" w:hAnsi="Palatino Linotype" w:cs="Times New Roman"/>
          <w:i/>
          <w:lang w:val="az-Latn-AZ"/>
        </w:rPr>
        <w:t>9</w:t>
      </w:r>
      <w:r w:rsidR="008B0297" w:rsidRPr="00A25E71">
        <w:rPr>
          <w:rFonts w:ascii="Palatino Linotype" w:hAnsi="Palatino Linotype" w:cs="Times New Roman"/>
          <w:i/>
          <w:lang w:val="az-Latn-AZ"/>
        </w:rPr>
        <w:t>.6.3.3.2.</w:t>
      </w:r>
      <w:r w:rsidR="008B0297" w:rsidRPr="00A25E71">
        <w:rPr>
          <w:rFonts w:ascii="Palatino Linotype" w:hAnsi="Palatino Linotype" w:cs="Times New Roman"/>
          <w:i/>
          <w:lang w:val="az-Latn-AZ"/>
        </w:rPr>
        <w:tab/>
        <w:t>Kiçik, orta və iri sahibkarlara verilən kreditlər üzrə (aqro kreditlər daxil deyil) – ödənilmiş əsas borcun 1 (bir) faizi.</w:t>
      </w:r>
    </w:p>
    <w:p w:rsidR="00365CEB" w:rsidRPr="00A25E71" w:rsidRDefault="00985239" w:rsidP="00321C8F">
      <w:pPr>
        <w:pStyle w:val="ListParagraph"/>
        <w:spacing w:before="240" w:line="360" w:lineRule="auto"/>
        <w:jc w:val="both"/>
        <w:rPr>
          <w:rFonts w:ascii="Palatino Linotype" w:hAnsi="Palatino Linotype" w:cs="Times New Roman"/>
          <w:i/>
          <w:lang w:val="az-Latn-AZ"/>
        </w:rPr>
      </w:pPr>
      <w:r w:rsidRPr="00A25E71">
        <w:rPr>
          <w:rFonts w:ascii="Palatino Linotype" w:hAnsi="Palatino Linotype" w:cs="Times New Roman"/>
          <w:i/>
          <w:lang w:val="az-Latn-AZ"/>
        </w:rPr>
        <w:t>Kreditin “aqro və (və ya) mikro kredit” və ya “kiçik, orta və iri sahibkarlara verilən kredit” olması Tərəflərin razılaşmasında müəyyən edilir.</w:t>
      </w:r>
      <w:r w:rsidR="008B0297" w:rsidRPr="00A25E71">
        <w:rPr>
          <w:rFonts w:ascii="Palatino Linotype" w:hAnsi="Palatino Linotype" w:cs="Times New Roman"/>
          <w:i/>
          <w:lang w:val="az-Latn-AZ"/>
        </w:rPr>
        <w:t>”</w:t>
      </w:r>
    </w:p>
    <w:p w:rsidR="00365CEB" w:rsidRPr="00A25E71" w:rsidRDefault="00365CEB" w:rsidP="00321C8F">
      <w:pPr>
        <w:spacing w:before="240"/>
        <w:ind w:firstLine="360"/>
        <w:jc w:val="both"/>
        <w:rPr>
          <w:rFonts w:ascii="Palatino Linotype" w:hAnsi="Palatino Linotype" w:cs="Times New Roman"/>
          <w:lang w:val="az-Latn-AZ"/>
        </w:rPr>
      </w:pPr>
      <w:r w:rsidRPr="00A25E71">
        <w:rPr>
          <w:rFonts w:ascii="Palatino Linotype" w:hAnsi="Palatino Linotype" w:cs="Times New Roman"/>
          <w:lang w:val="az-Latn-AZ"/>
        </w:rPr>
        <w:t>1.2. Müqavilə</w:t>
      </w:r>
      <w:r w:rsidR="00985239" w:rsidRPr="00A25E71">
        <w:rPr>
          <w:rFonts w:ascii="Palatino Linotype" w:hAnsi="Palatino Linotype" w:cs="Times New Roman"/>
          <w:lang w:val="az-Latn-AZ"/>
        </w:rPr>
        <w:t>nin 11-ci</w:t>
      </w:r>
      <w:r w:rsidRPr="00A25E71">
        <w:rPr>
          <w:rFonts w:ascii="Palatino Linotype" w:hAnsi="Palatino Linotype" w:cs="Times New Roman"/>
          <w:lang w:val="az-Latn-AZ"/>
        </w:rPr>
        <w:t xml:space="preserve"> maddəsi aşağıdakı redaksiyada verilsin:</w:t>
      </w:r>
    </w:p>
    <w:p w:rsidR="00365CEB" w:rsidRPr="00A25E71" w:rsidRDefault="00365CEB" w:rsidP="00321C8F">
      <w:pPr>
        <w:spacing w:before="240" w:line="360" w:lineRule="auto"/>
        <w:jc w:val="center"/>
        <w:rPr>
          <w:rFonts w:ascii="Palatino Linotype" w:hAnsi="Palatino Linotype" w:cs="Times New Roman"/>
          <w:b/>
          <w:i/>
          <w:lang w:val="az-Latn-AZ"/>
        </w:rPr>
      </w:pPr>
      <w:r w:rsidRPr="00A25E71">
        <w:rPr>
          <w:rFonts w:ascii="Palatino Linotype" w:hAnsi="Palatino Linotype" w:cs="Times New Roman"/>
          <w:b/>
          <w:i/>
          <w:lang w:val="az-Latn-AZ"/>
        </w:rPr>
        <w:t>“1</w:t>
      </w:r>
      <w:r w:rsidR="00985239" w:rsidRPr="00A25E71">
        <w:rPr>
          <w:rFonts w:ascii="Palatino Linotype" w:hAnsi="Palatino Linotype" w:cs="Times New Roman"/>
          <w:b/>
          <w:i/>
          <w:lang w:val="az-Latn-AZ"/>
        </w:rPr>
        <w:t>1</w:t>
      </w:r>
      <w:r w:rsidRPr="00A25E71">
        <w:rPr>
          <w:rFonts w:ascii="Palatino Linotype" w:hAnsi="Palatino Linotype" w:cs="Times New Roman"/>
          <w:b/>
          <w:i/>
          <w:lang w:val="az-Latn-AZ"/>
        </w:rPr>
        <w:t>. Akkreditiv</w:t>
      </w:r>
    </w:p>
    <w:p w:rsidR="00365CEB" w:rsidRPr="00A25E71" w:rsidRDefault="00985239" w:rsidP="00321C8F">
      <w:pPr>
        <w:pStyle w:val="ListParagraph"/>
        <w:spacing w:before="240" w:line="360" w:lineRule="auto"/>
        <w:ind w:left="480"/>
        <w:jc w:val="both"/>
        <w:rPr>
          <w:rFonts w:ascii="Palatino Linotype" w:hAnsi="Palatino Linotype" w:cs="Times New Roman"/>
          <w:b/>
          <w:i/>
          <w:lang w:val="az-Latn-AZ"/>
        </w:rPr>
      </w:pPr>
      <w:r w:rsidRPr="00A25E71">
        <w:rPr>
          <w:rFonts w:ascii="Palatino Linotype" w:hAnsi="Palatino Linotype"/>
          <w:i/>
          <w:noProof/>
          <w:lang w:val="az-Latn-AZ"/>
        </w:rPr>
        <w:t>11</w:t>
      </w:r>
      <w:r w:rsidR="00365CEB" w:rsidRPr="00A25E71">
        <w:rPr>
          <w:rFonts w:ascii="Palatino Linotype" w:hAnsi="Palatino Linotype"/>
          <w:i/>
          <w:noProof/>
          <w:lang w:val="az-Latn-AZ"/>
        </w:rPr>
        <w:t xml:space="preserve">.1. Akkreditiv üzrə Bank və Müştəri arasında bağlanılan müvafiq razılaşmaya əsasən Bank Müştəriyə Benefisiarın xeyrinə həmin razılaşmada göstərilən şərtlərlə kreditləşdirilə bilən akkreditiv </w:t>
      </w:r>
      <w:r w:rsidR="00365CEB" w:rsidRPr="00A25E71">
        <w:rPr>
          <w:rFonts w:ascii="Palatino Linotype" w:hAnsi="Palatino Linotype"/>
          <w:i/>
          <w:noProof/>
          <w:lang w:val="az-Latn-AZ"/>
        </w:rPr>
        <w:lastRenderedPageBreak/>
        <w:t>açır, Müştəri isə öz növbəsində həmin razılaşmada və bu Müqavilədə göstərilən qaydada faizləri və komissiya haqqını, o cümlədən akkreditiv kreditləşdirildikdə hesablanan faizləri, komissiya haqlarını və digər ödənişləri Banka ödəməyi öhdəsinə götürür.</w:t>
      </w:r>
    </w:p>
    <w:p w:rsidR="00365CEB" w:rsidRPr="00A25E71" w:rsidRDefault="00985239" w:rsidP="00321C8F">
      <w:pPr>
        <w:pStyle w:val="ListParagraph"/>
        <w:spacing w:before="240" w:line="360" w:lineRule="auto"/>
        <w:ind w:left="480"/>
        <w:jc w:val="both"/>
        <w:rPr>
          <w:rFonts w:ascii="Palatino Linotype" w:hAnsi="Palatino Linotype"/>
          <w:i/>
          <w:noProof/>
          <w:lang w:val="az-Latn-AZ"/>
        </w:rPr>
      </w:pPr>
      <w:r w:rsidRPr="00A25E71">
        <w:rPr>
          <w:rFonts w:ascii="Palatino Linotype" w:hAnsi="Palatino Linotype"/>
          <w:i/>
          <w:noProof/>
          <w:lang w:val="az-Latn-AZ"/>
        </w:rPr>
        <w:t>11</w:t>
      </w:r>
      <w:r w:rsidR="00365CEB" w:rsidRPr="00A25E71">
        <w:rPr>
          <w:rFonts w:ascii="Palatino Linotype" w:hAnsi="Palatino Linotype"/>
          <w:i/>
          <w:noProof/>
          <w:lang w:val="az-Latn-AZ"/>
        </w:rPr>
        <w:t xml:space="preserve">.2. Tərəflər arasındakı razılaşmada başqa qayda nəzərdə tutulmadıqda akkreditiv üzrə komissiya haqqı müvafiq akkreditivin açılması üzrə razılaşmanın imzalanmasından sonra dərhal ödənilir. Akkreditiv üzrə illik faiz dərəcəsi dərhal və ya müvafiq ödəniş qrafiki üzrə ödənilir. Tərəflər arasındakı razılaşmada illik faiz dərəcəsinin ödənilməsi mexanizmi ilə bağlı qeyd yoxdursa, illik faiz dərəcəsi dərhal ödənilir. </w:t>
      </w:r>
    </w:p>
    <w:p w:rsidR="00365CEB" w:rsidRPr="00A25E71" w:rsidRDefault="00985239" w:rsidP="00321C8F">
      <w:pPr>
        <w:pStyle w:val="ListParagraph"/>
        <w:spacing w:before="240" w:line="360" w:lineRule="auto"/>
        <w:ind w:left="480"/>
        <w:jc w:val="both"/>
        <w:rPr>
          <w:rFonts w:ascii="Palatino Linotype" w:hAnsi="Palatino Linotype" w:cs="Times New Roman"/>
          <w:i/>
          <w:lang w:val="az-Latn-AZ"/>
        </w:rPr>
      </w:pPr>
      <w:r w:rsidRPr="00A25E71">
        <w:rPr>
          <w:rFonts w:ascii="Palatino Linotype" w:hAnsi="Palatino Linotype"/>
          <w:i/>
          <w:noProof/>
          <w:lang w:val="az-Latn-AZ"/>
        </w:rPr>
        <w:t>11</w:t>
      </w:r>
      <w:r w:rsidR="00365CEB" w:rsidRPr="00A25E71">
        <w:rPr>
          <w:rFonts w:ascii="Palatino Linotype" w:hAnsi="Palatino Linotype"/>
          <w:i/>
          <w:noProof/>
          <w:lang w:val="az-Latn-AZ"/>
        </w:rPr>
        <w:t xml:space="preserve">.3. Bank akkreditivin icrası üçün digər bankı icraçı bank olaraq cəlb edə bilər. </w:t>
      </w:r>
    </w:p>
    <w:p w:rsidR="00365CEB" w:rsidRPr="00A25E71" w:rsidRDefault="00985239" w:rsidP="00321C8F">
      <w:pPr>
        <w:spacing w:before="240" w:line="360" w:lineRule="auto"/>
        <w:ind w:left="480"/>
        <w:jc w:val="both"/>
        <w:rPr>
          <w:rFonts w:ascii="Palatino Linotype" w:hAnsi="Palatino Linotype"/>
          <w:i/>
          <w:noProof/>
          <w:lang w:val="az-Latn-AZ"/>
        </w:rPr>
      </w:pPr>
      <w:r w:rsidRPr="00A25E71">
        <w:rPr>
          <w:rFonts w:ascii="Palatino Linotype" w:hAnsi="Palatino Linotype"/>
          <w:i/>
          <w:noProof/>
          <w:lang w:val="az-Latn-AZ"/>
        </w:rPr>
        <w:t>11</w:t>
      </w:r>
      <w:r w:rsidR="00365CEB" w:rsidRPr="00A25E71">
        <w:rPr>
          <w:rFonts w:ascii="Palatino Linotype" w:hAnsi="Palatino Linotype"/>
          <w:i/>
          <w:noProof/>
          <w:lang w:val="az-Latn-AZ"/>
        </w:rPr>
        <w:t xml:space="preserve">.4. Benefisiar akkreditivin icrası üçün lazımi sənədləri (“icra sənədləri”) Banka təqdim etdikdə Bank akkreditivi icra edir. Akkreditivin icrası üçün icraçı bank cəlb edildikdə, icraçı bank icra sənədlərini qəbul edə bilər. Lakin, bu, Bankın həmin sənədləri tələb etmək hüququnu məhdudlaşdırmır. </w:t>
      </w:r>
    </w:p>
    <w:p w:rsidR="00365CEB" w:rsidRPr="00A25E71" w:rsidRDefault="00985239" w:rsidP="00321C8F">
      <w:pPr>
        <w:pStyle w:val="ListParagraph"/>
        <w:spacing w:before="240" w:line="360" w:lineRule="auto"/>
        <w:ind w:left="480"/>
        <w:jc w:val="both"/>
        <w:rPr>
          <w:rFonts w:ascii="Palatino Linotype" w:hAnsi="Palatino Linotype"/>
          <w:i/>
          <w:noProof/>
          <w:lang w:val="az-Latn-AZ"/>
        </w:rPr>
      </w:pPr>
      <w:r w:rsidRPr="00A25E71">
        <w:rPr>
          <w:rFonts w:ascii="Palatino Linotype" w:hAnsi="Palatino Linotype"/>
          <w:i/>
          <w:noProof/>
          <w:lang w:val="az-Latn-AZ"/>
        </w:rPr>
        <w:t>11</w:t>
      </w:r>
      <w:r w:rsidR="00365CEB" w:rsidRPr="00A25E71">
        <w:rPr>
          <w:rFonts w:ascii="Palatino Linotype" w:hAnsi="Palatino Linotype"/>
          <w:i/>
          <w:noProof/>
          <w:lang w:val="az-Latn-AZ"/>
        </w:rPr>
        <w:t xml:space="preserve">.5. İcra sənədlərinin siyahısı Müştəri və Bank arasında bağlanılan razılaşmada müəyyən edilir. İcra sənədlərinin siyahısı icraçı banka və ya Benefisiarın özünə məlumat verməklə bildirilir. </w:t>
      </w:r>
    </w:p>
    <w:p w:rsidR="00365CEB" w:rsidRPr="00A25E71" w:rsidRDefault="00985239" w:rsidP="00321C8F">
      <w:pPr>
        <w:pStyle w:val="ListParagraph"/>
        <w:spacing w:before="240" w:line="360" w:lineRule="auto"/>
        <w:ind w:left="480"/>
        <w:jc w:val="both"/>
        <w:rPr>
          <w:rFonts w:ascii="Palatino Linotype" w:hAnsi="Palatino Linotype"/>
          <w:i/>
          <w:noProof/>
          <w:lang w:val="az-Latn-AZ"/>
        </w:rPr>
      </w:pPr>
      <w:r w:rsidRPr="00A25E71">
        <w:rPr>
          <w:rFonts w:ascii="Palatino Linotype" w:hAnsi="Palatino Linotype"/>
          <w:i/>
          <w:noProof/>
          <w:lang w:val="az-Latn-AZ"/>
        </w:rPr>
        <w:t>11</w:t>
      </w:r>
      <w:r w:rsidR="00365CEB" w:rsidRPr="00A25E71">
        <w:rPr>
          <w:rFonts w:ascii="Palatino Linotype" w:hAnsi="Palatino Linotype"/>
          <w:i/>
          <w:noProof/>
          <w:lang w:val="az-Latn-AZ"/>
        </w:rPr>
        <w:t xml:space="preserve">.6. İcra sənədlərindən hər hansı biri Banka (və ya icraçı banka) təqdim edilmədikdə, o cümlədən tələb və müvafiq sənədlər akkreditivin bitmə tarixindən sonra təqdim edildikdə Bank akkreditivin icrasından imtina edir. </w:t>
      </w:r>
    </w:p>
    <w:p w:rsidR="00365CEB" w:rsidRPr="00A25E71" w:rsidRDefault="00985239" w:rsidP="00321C8F">
      <w:pPr>
        <w:pStyle w:val="ListParagraph"/>
        <w:spacing w:before="240" w:line="360" w:lineRule="auto"/>
        <w:ind w:left="480"/>
        <w:jc w:val="both"/>
        <w:rPr>
          <w:rFonts w:ascii="Palatino Linotype" w:hAnsi="Palatino Linotype" w:cs="Times New Roman"/>
          <w:i/>
          <w:lang w:val="az-Latn-AZ"/>
        </w:rPr>
      </w:pPr>
      <w:r w:rsidRPr="00A25E71">
        <w:rPr>
          <w:rFonts w:ascii="Palatino Linotype" w:hAnsi="Palatino Linotype" w:cs="Times New Roman"/>
          <w:i/>
          <w:lang w:val="az-Latn-AZ"/>
        </w:rPr>
        <w:t>11</w:t>
      </w:r>
      <w:r w:rsidR="00365CEB" w:rsidRPr="00A25E71">
        <w:rPr>
          <w:rFonts w:ascii="Palatino Linotype" w:hAnsi="Palatino Linotype" w:cs="Times New Roman"/>
          <w:i/>
          <w:lang w:val="az-Latn-AZ"/>
        </w:rPr>
        <w:t xml:space="preserve">.7. Bank (və (və ya) icraçı bank) icra sənədlərinin yalnız formal baxımdan qaydada olmasını yoxlayır. Yəni əgər sənəd Banka təqdim edilmişdirsə, Bank həmin sənədlərin məzmunununun Azərbaycan Respublikasının qanunvericiliyinə və Müştəri ilə Benefisiar arasında olan razılaşmanın tələblərinə uyğunluğunu və sənədi imzalayan şəxslərin imza hüquqlarını yoxlamağa borclu deyil. </w:t>
      </w:r>
    </w:p>
    <w:p w:rsidR="00365CEB" w:rsidRPr="00A25E71" w:rsidRDefault="00985239" w:rsidP="00321C8F">
      <w:pPr>
        <w:pStyle w:val="ListParagraph"/>
        <w:spacing w:before="240" w:line="360" w:lineRule="auto"/>
        <w:ind w:left="480"/>
        <w:jc w:val="both"/>
        <w:rPr>
          <w:rFonts w:ascii="Palatino Linotype" w:hAnsi="Palatino Linotype" w:cs="Times New Roman"/>
          <w:i/>
          <w:lang w:val="az-Latn-AZ"/>
        </w:rPr>
      </w:pPr>
      <w:r w:rsidRPr="00A25E71">
        <w:rPr>
          <w:rFonts w:ascii="Palatino Linotype" w:hAnsi="Palatino Linotype" w:cs="Times New Roman"/>
          <w:i/>
          <w:lang w:val="az-Latn-AZ"/>
        </w:rPr>
        <w:t>11</w:t>
      </w:r>
      <w:r w:rsidR="00365CEB" w:rsidRPr="00A25E71">
        <w:rPr>
          <w:rFonts w:ascii="Palatino Linotype" w:hAnsi="Palatino Linotype" w:cs="Times New Roman"/>
          <w:i/>
          <w:lang w:val="az-Latn-AZ"/>
        </w:rPr>
        <w:t xml:space="preserve">.8. İcra sənədlərinin Banka (və ya icraçı banka) təqdim edilməsi akkreditiv üzrə tələbin irəli sürülməsi hesab edilir. </w:t>
      </w:r>
    </w:p>
    <w:p w:rsidR="00365CEB" w:rsidRPr="00A25E71" w:rsidRDefault="00365CEB" w:rsidP="00321C8F">
      <w:pPr>
        <w:spacing w:before="240" w:line="360" w:lineRule="auto"/>
        <w:ind w:firstLine="480"/>
        <w:jc w:val="both"/>
        <w:rPr>
          <w:rFonts w:ascii="Palatino Linotype" w:hAnsi="Palatino Linotype" w:cs="Times New Roman"/>
          <w:i/>
          <w:lang w:val="az-Latn-AZ"/>
        </w:rPr>
      </w:pPr>
      <w:r w:rsidRPr="00A25E71">
        <w:rPr>
          <w:rFonts w:ascii="Palatino Linotype" w:hAnsi="Palatino Linotype"/>
          <w:i/>
          <w:noProof/>
          <w:lang w:val="az-Latn-AZ"/>
        </w:rPr>
        <w:t>1</w:t>
      </w:r>
      <w:r w:rsidR="00985239" w:rsidRPr="00A25E71">
        <w:rPr>
          <w:rFonts w:ascii="Palatino Linotype" w:hAnsi="Palatino Linotype"/>
          <w:i/>
          <w:noProof/>
          <w:lang w:val="az-Latn-AZ"/>
        </w:rPr>
        <w:t>1</w:t>
      </w:r>
      <w:r w:rsidRPr="00A25E71">
        <w:rPr>
          <w:rFonts w:ascii="Palatino Linotype" w:hAnsi="Palatino Linotype"/>
          <w:i/>
          <w:noProof/>
          <w:lang w:val="az-Latn-AZ"/>
        </w:rPr>
        <w:t xml:space="preserve">.9. İcra </w:t>
      </w:r>
      <w:r w:rsidRPr="00A25E71">
        <w:rPr>
          <w:rFonts w:ascii="Palatino Linotype" w:hAnsi="Palatino Linotype" w:cs="Times New Roman"/>
          <w:i/>
          <w:lang w:val="az-Latn-AZ"/>
        </w:rPr>
        <w:t>sənədləri</w:t>
      </w:r>
      <w:r w:rsidRPr="00A25E71">
        <w:rPr>
          <w:rFonts w:ascii="Palatino Linotype" w:hAnsi="Palatino Linotype"/>
          <w:i/>
          <w:lang w:val="az-Latn-AZ"/>
        </w:rPr>
        <w:t xml:space="preserve"> Banka təqdim edildikdə tələb aşağıdakı qaydada ödənilir:</w:t>
      </w:r>
    </w:p>
    <w:p w:rsidR="00365CEB" w:rsidRPr="00A25E71" w:rsidRDefault="00985239" w:rsidP="00321C8F">
      <w:pPr>
        <w:pStyle w:val="ListParagraph"/>
        <w:spacing w:before="240" w:line="360" w:lineRule="auto"/>
        <w:ind w:left="1440"/>
        <w:jc w:val="both"/>
        <w:rPr>
          <w:rFonts w:ascii="Palatino Linotype" w:hAnsi="Palatino Linotype" w:cs="Times New Roman"/>
          <w:i/>
          <w:lang w:val="az-Latn-AZ"/>
        </w:rPr>
      </w:pPr>
      <w:r w:rsidRPr="00A25E71">
        <w:rPr>
          <w:rFonts w:ascii="Palatino Linotype" w:hAnsi="Palatino Linotype" w:cs="Times New Roman"/>
          <w:i/>
          <w:lang w:val="az-Latn-AZ"/>
        </w:rPr>
        <w:t>11</w:t>
      </w:r>
      <w:r w:rsidR="00365CEB" w:rsidRPr="00A25E71">
        <w:rPr>
          <w:rFonts w:ascii="Palatino Linotype" w:hAnsi="Palatino Linotype" w:cs="Times New Roman"/>
          <w:i/>
          <w:lang w:val="az-Latn-AZ"/>
        </w:rPr>
        <w:t xml:space="preserve">.9.1. (i) Müştərinin Bankdakı hesabında mövcud olan vəsaitdən akseptsiz qaydada silməklə və ya Müştərinin ödəniş tapşırığı ilə (Bankın seçiminə əsasən) hesabdakı pul vəsaiti hesabına, (ii) Müştərinin təqdim etdiyi əlavə pul vəsaiti hesabına və (və ya) (iii) </w:t>
      </w:r>
      <w:r w:rsidR="00365CEB" w:rsidRPr="00A25E71">
        <w:rPr>
          <w:rFonts w:ascii="Palatino Linotype" w:hAnsi="Palatino Linotype" w:cs="Times New Roman"/>
          <w:i/>
          <w:lang w:val="az-Latn-AZ"/>
        </w:rPr>
        <w:lastRenderedPageBreak/>
        <w:t>akkreditivin təminatı olaraq götürülən öhdəliyin təminatı vasitəsi hesabına - 3 (üç) iş günü ərzində; və ya</w:t>
      </w:r>
    </w:p>
    <w:p w:rsidR="00365CEB" w:rsidRPr="00A25E71" w:rsidRDefault="00985239" w:rsidP="00321C8F">
      <w:pPr>
        <w:pStyle w:val="ListParagraph"/>
        <w:spacing w:before="240" w:line="360" w:lineRule="auto"/>
        <w:ind w:left="1440"/>
        <w:jc w:val="both"/>
        <w:rPr>
          <w:rFonts w:ascii="Palatino Linotype" w:hAnsi="Palatino Linotype" w:cs="Times New Roman"/>
          <w:i/>
          <w:lang w:val="az-Latn-AZ"/>
        </w:rPr>
      </w:pPr>
      <w:r w:rsidRPr="00A25E71">
        <w:rPr>
          <w:rFonts w:ascii="Palatino Linotype" w:hAnsi="Palatino Linotype" w:cs="Times New Roman"/>
          <w:i/>
          <w:lang w:val="az-Latn-AZ"/>
        </w:rPr>
        <w:t>11</w:t>
      </w:r>
      <w:r w:rsidR="00365CEB" w:rsidRPr="00A25E71">
        <w:rPr>
          <w:rFonts w:ascii="Palatino Linotype" w:hAnsi="Palatino Linotype" w:cs="Times New Roman"/>
          <w:i/>
          <w:lang w:val="az-Latn-AZ"/>
        </w:rPr>
        <w:t>.9.2. Bu Müqavilə</w:t>
      </w:r>
      <w:r w:rsidR="00DD6116" w:rsidRPr="00A25E71">
        <w:rPr>
          <w:rFonts w:ascii="Palatino Linotype" w:hAnsi="Palatino Linotype" w:cs="Times New Roman"/>
          <w:i/>
          <w:lang w:val="az-Latn-AZ"/>
        </w:rPr>
        <w:t>nin 11</w:t>
      </w:r>
      <w:r w:rsidR="00365CEB" w:rsidRPr="00A25E71">
        <w:rPr>
          <w:rFonts w:ascii="Palatino Linotype" w:hAnsi="Palatino Linotype" w:cs="Times New Roman"/>
          <w:i/>
          <w:lang w:val="az-Latn-AZ"/>
        </w:rPr>
        <w:t xml:space="preserve">.9.1-ci yarımbəndində nəzərdə tutulan qaydada və müddətdə tələbin ödənilməsi mümkün olmadıqda Bank tələbin ödənilməsi üçün lazımi həddə Müştəriyə birdəfəlik kredit ayırır və ayrılmış kredit hesabına tələb ödənilir. </w:t>
      </w:r>
    </w:p>
    <w:p w:rsidR="00365CEB" w:rsidRPr="00A25E71" w:rsidRDefault="00985239" w:rsidP="00321C8F">
      <w:pPr>
        <w:spacing w:before="240" w:line="360" w:lineRule="auto"/>
        <w:ind w:left="480"/>
        <w:jc w:val="both"/>
        <w:rPr>
          <w:rFonts w:ascii="Palatino Linotype" w:hAnsi="Palatino Linotype" w:cs="Times New Roman"/>
          <w:b/>
          <w:i/>
          <w:lang w:val="az-Latn-AZ"/>
        </w:rPr>
      </w:pPr>
      <w:r w:rsidRPr="00A25E71">
        <w:rPr>
          <w:rFonts w:ascii="Palatino Linotype" w:hAnsi="Palatino Linotype" w:cs="Times New Roman"/>
          <w:i/>
          <w:lang w:val="az-Latn-AZ"/>
        </w:rPr>
        <w:t>11</w:t>
      </w:r>
      <w:r w:rsidR="00365CEB" w:rsidRPr="00A25E71">
        <w:rPr>
          <w:rFonts w:ascii="Palatino Linotype" w:hAnsi="Palatino Linotype" w:cs="Times New Roman"/>
          <w:i/>
          <w:lang w:val="az-Latn-AZ"/>
        </w:rPr>
        <w:t>.1</w:t>
      </w:r>
      <w:r w:rsidRPr="00A25E71">
        <w:rPr>
          <w:rFonts w:ascii="Palatino Linotype" w:hAnsi="Palatino Linotype" w:cs="Times New Roman"/>
          <w:i/>
          <w:lang w:val="az-Latn-AZ"/>
        </w:rPr>
        <w:t>0. Akkreditiv bu Razılaşmanın 11</w:t>
      </w:r>
      <w:r w:rsidR="00365CEB" w:rsidRPr="00A25E71">
        <w:rPr>
          <w:rFonts w:ascii="Palatino Linotype" w:hAnsi="Palatino Linotype" w:cs="Times New Roman"/>
          <w:i/>
          <w:lang w:val="az-Latn-AZ"/>
        </w:rPr>
        <w:t>.9.2-ci bəndində nəzərdə tutulan qaydada icra edildikdə Müştəriyə ayrılmış kreditin xüsusi şərtləri Tərəflər arasındakı razılaşmada müəyyən edilir. Kreditə dair digər şərtlər (kreditin qaytarılması, vaxtından əvvəl tələb edilməsi, gecikdirilməsi və s.) bu Müqavilədə həmin növ kredit üzrə nəzərdə tutulan qaydada tətbiq edilir.”</w:t>
      </w:r>
    </w:p>
    <w:p w:rsidR="00EA669D" w:rsidRPr="00A25E71" w:rsidRDefault="00365CEB" w:rsidP="00321C8F">
      <w:pPr>
        <w:spacing w:before="240"/>
        <w:jc w:val="both"/>
        <w:rPr>
          <w:rFonts w:ascii="Palatino Linotype" w:hAnsi="Palatino Linotype"/>
          <w:lang w:val="az-Latn-AZ"/>
        </w:rPr>
      </w:pPr>
      <w:r w:rsidRPr="00A25E71">
        <w:rPr>
          <w:rFonts w:ascii="Palatino Linotype" w:hAnsi="Palatino Linotype" w:cs="Times New Roman"/>
          <w:lang w:val="az-Latn-AZ"/>
        </w:rPr>
        <w:t xml:space="preserve">2. </w:t>
      </w:r>
      <w:r w:rsidR="00EA669D" w:rsidRPr="00A25E71">
        <w:rPr>
          <w:rFonts w:ascii="Palatino Linotype" w:hAnsi="Palatino Linotype" w:cs="Times New Roman"/>
          <w:lang w:val="az-Latn-AZ"/>
        </w:rPr>
        <w:t>Müqavilənin</w:t>
      </w:r>
      <w:r w:rsidR="00EA669D" w:rsidRPr="00A25E71">
        <w:rPr>
          <w:rFonts w:ascii="Palatino Linotype" w:hAnsi="Palatino Linotype"/>
          <w:lang w:val="az-Latn-AZ"/>
        </w:rPr>
        <w:t xml:space="preserve"> digər müddəaları dəyişdirilmədən saxlanılır və olduğu kimi öz hüquqi qüvvəsini saxlayır. </w:t>
      </w:r>
    </w:p>
    <w:p w:rsidR="00EA669D" w:rsidRPr="00365CEB" w:rsidRDefault="00365CEB" w:rsidP="00321C8F">
      <w:pPr>
        <w:spacing w:before="240"/>
        <w:jc w:val="both"/>
        <w:rPr>
          <w:rFonts w:ascii="Palatino Linotype" w:hAnsi="Palatino Linotype"/>
          <w:lang w:val="az-Latn-AZ"/>
        </w:rPr>
      </w:pPr>
      <w:r w:rsidRPr="00A25E71">
        <w:rPr>
          <w:rFonts w:ascii="Palatino Linotype" w:hAnsi="Palatino Linotype"/>
          <w:lang w:val="az-Latn-AZ"/>
        </w:rPr>
        <w:t xml:space="preserve">3. </w:t>
      </w:r>
      <w:r w:rsidR="00EA669D" w:rsidRPr="00A25E71">
        <w:rPr>
          <w:rFonts w:ascii="Palatino Linotype" w:hAnsi="Palatino Linotype"/>
          <w:lang w:val="az-Latn-AZ"/>
        </w:rPr>
        <w:t xml:space="preserve">Bu Əlavə razılaşma </w:t>
      </w:r>
      <w:r w:rsidR="0069393D">
        <w:rPr>
          <w:rFonts w:ascii="Palatino Linotype" w:hAnsi="Palatino Linotype"/>
          <w:lang w:val="az-Latn-AZ"/>
        </w:rPr>
        <w:t>08</w:t>
      </w:r>
      <w:bookmarkStart w:id="0" w:name="_GoBack"/>
      <w:bookmarkEnd w:id="0"/>
      <w:r w:rsidRPr="00A25E71">
        <w:rPr>
          <w:rFonts w:ascii="Palatino Linotype" w:hAnsi="Palatino Linotype"/>
          <w:lang w:val="az-Latn-AZ"/>
        </w:rPr>
        <w:t>.02.2024</w:t>
      </w:r>
      <w:r w:rsidR="00EA669D" w:rsidRPr="00A25E71">
        <w:rPr>
          <w:rFonts w:ascii="Palatino Linotype" w:hAnsi="Palatino Linotype"/>
          <w:lang w:val="az-Latn-AZ"/>
        </w:rPr>
        <w:t>-cü il tarixindən etibarən qüvvəyə minir.</w:t>
      </w:r>
    </w:p>
    <w:p w:rsidR="00B76E8E" w:rsidRPr="00365CEB" w:rsidRDefault="00B76E8E" w:rsidP="00321C8F">
      <w:pPr>
        <w:spacing w:before="240"/>
        <w:rPr>
          <w:lang w:val="az-Latn-AZ"/>
        </w:rPr>
      </w:pPr>
    </w:p>
    <w:sectPr w:rsidR="00B76E8E" w:rsidRPr="00365CEB" w:rsidSect="00C719D6">
      <w:headerReference w:type="default" r:id="rId8"/>
      <w:pgSz w:w="12240" w:h="15840"/>
      <w:pgMar w:top="1440" w:right="1440" w:bottom="1440" w:left="144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2F0" w:rsidRDefault="00E062F0">
      <w:pPr>
        <w:spacing w:after="0" w:line="240" w:lineRule="auto"/>
      </w:pPr>
      <w:r>
        <w:separator/>
      </w:r>
    </w:p>
  </w:endnote>
  <w:endnote w:type="continuationSeparator" w:id="0">
    <w:p w:rsidR="00E062F0" w:rsidRDefault="00E0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2F0" w:rsidRDefault="00E062F0">
      <w:pPr>
        <w:spacing w:after="0" w:line="240" w:lineRule="auto"/>
      </w:pPr>
      <w:r>
        <w:separator/>
      </w:r>
    </w:p>
  </w:footnote>
  <w:footnote w:type="continuationSeparator" w:id="0">
    <w:p w:rsidR="00E062F0" w:rsidRDefault="00E06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9D6" w:rsidRDefault="00365CEB">
    <w:pPr>
      <w:pStyle w:val="Header"/>
    </w:pPr>
    <w:r>
      <w:rPr>
        <w:noProof/>
      </w:rPr>
      <w:drawing>
        <wp:inline distT="0" distB="0" distL="0" distR="0" wp14:anchorId="041FCDC5" wp14:editId="5325AD8C">
          <wp:extent cx="1879839" cy="385513"/>
          <wp:effectExtent l="0" t="0" r="6350" b="0"/>
          <wp:docPr id="2" name="Picture 2" descr="File:Bank Respublika.svg - Wikimedia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Bank Respublika.svg - Wikimedia Commo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514" cy="39898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5265B"/>
    <w:multiLevelType w:val="multilevel"/>
    <w:tmpl w:val="3154D4F0"/>
    <w:lvl w:ilvl="0">
      <w:start w:val="13"/>
      <w:numFmt w:val="decimal"/>
      <w:lvlText w:val="%1."/>
      <w:lvlJc w:val="left"/>
      <w:pPr>
        <w:ind w:left="480" w:hanging="480"/>
      </w:pPr>
      <w:rPr>
        <w:rFonts w:cstheme="minorBidi" w:hint="default"/>
        <w:b w:val="0"/>
      </w:rPr>
    </w:lvl>
    <w:lvl w:ilvl="1">
      <w:start w:val="1"/>
      <w:numFmt w:val="decimal"/>
      <w:lvlText w:val="%1.%2."/>
      <w:lvlJc w:val="left"/>
      <w:pPr>
        <w:ind w:left="480" w:hanging="480"/>
      </w:pPr>
      <w:rPr>
        <w:rFonts w:cstheme="minorBidi" w:hint="default"/>
        <w:b w:val="0"/>
      </w:rPr>
    </w:lvl>
    <w:lvl w:ilvl="2">
      <w:start w:val="1"/>
      <w:numFmt w:val="decimal"/>
      <w:lvlText w:val="%1.%2.%3."/>
      <w:lvlJc w:val="left"/>
      <w:pPr>
        <w:ind w:left="720" w:hanging="720"/>
      </w:pPr>
      <w:rPr>
        <w:rFonts w:cstheme="minorBidi" w:hint="default"/>
        <w:b w:val="0"/>
      </w:rPr>
    </w:lvl>
    <w:lvl w:ilvl="3">
      <w:start w:val="1"/>
      <w:numFmt w:val="decimal"/>
      <w:lvlText w:val="%1.%2.%3.%4."/>
      <w:lvlJc w:val="left"/>
      <w:pPr>
        <w:ind w:left="720" w:hanging="720"/>
      </w:pPr>
      <w:rPr>
        <w:rFonts w:cstheme="minorBidi" w:hint="default"/>
        <w:b w:val="0"/>
      </w:rPr>
    </w:lvl>
    <w:lvl w:ilvl="4">
      <w:start w:val="1"/>
      <w:numFmt w:val="decimal"/>
      <w:lvlText w:val="%1.%2.%3.%4.%5."/>
      <w:lvlJc w:val="left"/>
      <w:pPr>
        <w:ind w:left="1080" w:hanging="1080"/>
      </w:pPr>
      <w:rPr>
        <w:rFonts w:cstheme="minorBidi" w:hint="default"/>
        <w:b w:val="0"/>
      </w:rPr>
    </w:lvl>
    <w:lvl w:ilvl="5">
      <w:start w:val="1"/>
      <w:numFmt w:val="decimal"/>
      <w:lvlText w:val="%1.%2.%3.%4.%5.%6."/>
      <w:lvlJc w:val="left"/>
      <w:pPr>
        <w:ind w:left="1080" w:hanging="1080"/>
      </w:pPr>
      <w:rPr>
        <w:rFonts w:cstheme="minorBidi" w:hint="default"/>
        <w:b w:val="0"/>
      </w:rPr>
    </w:lvl>
    <w:lvl w:ilvl="6">
      <w:start w:val="1"/>
      <w:numFmt w:val="decimal"/>
      <w:lvlText w:val="%1.%2.%3.%4.%5.%6.%7."/>
      <w:lvlJc w:val="left"/>
      <w:pPr>
        <w:ind w:left="1440" w:hanging="1440"/>
      </w:pPr>
      <w:rPr>
        <w:rFonts w:cstheme="minorBidi" w:hint="default"/>
        <w:b w:val="0"/>
      </w:rPr>
    </w:lvl>
    <w:lvl w:ilvl="7">
      <w:start w:val="1"/>
      <w:numFmt w:val="decimal"/>
      <w:lvlText w:val="%1.%2.%3.%4.%5.%6.%7.%8."/>
      <w:lvlJc w:val="left"/>
      <w:pPr>
        <w:ind w:left="1440" w:hanging="1440"/>
      </w:pPr>
      <w:rPr>
        <w:rFonts w:cstheme="minorBidi" w:hint="default"/>
        <w:b w:val="0"/>
      </w:rPr>
    </w:lvl>
    <w:lvl w:ilvl="8">
      <w:start w:val="1"/>
      <w:numFmt w:val="decimal"/>
      <w:lvlText w:val="%1.%2.%3.%4.%5.%6.%7.%8.%9."/>
      <w:lvlJc w:val="left"/>
      <w:pPr>
        <w:ind w:left="1800" w:hanging="1800"/>
      </w:pPr>
      <w:rPr>
        <w:rFonts w:cstheme="minorBidi" w:hint="default"/>
        <w:b w:val="0"/>
      </w:rPr>
    </w:lvl>
  </w:abstractNum>
  <w:abstractNum w:abstractNumId="1" w15:restartNumberingAfterBreak="0">
    <w:nsid w:val="3F5B4B5D"/>
    <w:multiLevelType w:val="multilevel"/>
    <w:tmpl w:val="AB123C0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ascii="Palatino Linotype" w:hAnsi="Palatino Linotype" w:cs="Times New Roman" w:hint="default"/>
      </w:rPr>
    </w:lvl>
    <w:lvl w:ilvl="2">
      <w:start w:val="1"/>
      <w:numFmt w:val="decimal"/>
      <w:isLgl/>
      <w:lvlText w:val="%1.%2.%3."/>
      <w:lvlJc w:val="left"/>
      <w:pPr>
        <w:ind w:left="1800" w:hanging="720"/>
      </w:pPr>
      <w:rPr>
        <w:rFonts w:ascii="Palatino Linotype" w:hAnsi="Palatino Linotype" w:cs="Times New Roman" w:hint="default"/>
      </w:rPr>
    </w:lvl>
    <w:lvl w:ilvl="3">
      <w:start w:val="1"/>
      <w:numFmt w:val="decimal"/>
      <w:isLgl/>
      <w:lvlText w:val="%1.%2.%3.%4."/>
      <w:lvlJc w:val="left"/>
      <w:pPr>
        <w:ind w:left="2160" w:hanging="720"/>
      </w:pPr>
      <w:rPr>
        <w:rFonts w:ascii="Palatino Linotype" w:hAnsi="Palatino Linotype" w:cs="Times New Roman" w:hint="default"/>
      </w:rPr>
    </w:lvl>
    <w:lvl w:ilvl="4">
      <w:start w:val="1"/>
      <w:numFmt w:val="decimal"/>
      <w:isLgl/>
      <w:lvlText w:val="%1.%2.%3.%4.%5."/>
      <w:lvlJc w:val="left"/>
      <w:pPr>
        <w:ind w:left="2880" w:hanging="1080"/>
      </w:pPr>
      <w:rPr>
        <w:rFonts w:ascii="Palatino Linotype" w:hAnsi="Palatino Linotype" w:cs="Times New Roman" w:hint="default"/>
      </w:rPr>
    </w:lvl>
    <w:lvl w:ilvl="5">
      <w:start w:val="1"/>
      <w:numFmt w:val="decimal"/>
      <w:isLgl/>
      <w:lvlText w:val="%1.%2.%3.%4.%5.%6."/>
      <w:lvlJc w:val="left"/>
      <w:pPr>
        <w:ind w:left="3240" w:hanging="1080"/>
      </w:pPr>
      <w:rPr>
        <w:rFonts w:ascii="Palatino Linotype" w:hAnsi="Palatino Linotype" w:cs="Times New Roman" w:hint="default"/>
      </w:rPr>
    </w:lvl>
    <w:lvl w:ilvl="6">
      <w:start w:val="1"/>
      <w:numFmt w:val="decimal"/>
      <w:isLgl/>
      <w:lvlText w:val="%1.%2.%3.%4.%5.%6.%7."/>
      <w:lvlJc w:val="left"/>
      <w:pPr>
        <w:ind w:left="3960" w:hanging="1440"/>
      </w:pPr>
      <w:rPr>
        <w:rFonts w:ascii="Palatino Linotype" w:hAnsi="Palatino Linotype" w:cs="Times New Roman" w:hint="default"/>
      </w:rPr>
    </w:lvl>
    <w:lvl w:ilvl="7">
      <w:start w:val="1"/>
      <w:numFmt w:val="decimal"/>
      <w:isLgl/>
      <w:lvlText w:val="%1.%2.%3.%4.%5.%6.%7.%8."/>
      <w:lvlJc w:val="left"/>
      <w:pPr>
        <w:ind w:left="4320" w:hanging="1440"/>
      </w:pPr>
      <w:rPr>
        <w:rFonts w:ascii="Palatino Linotype" w:hAnsi="Palatino Linotype" w:cs="Times New Roman" w:hint="default"/>
      </w:rPr>
    </w:lvl>
    <w:lvl w:ilvl="8">
      <w:start w:val="1"/>
      <w:numFmt w:val="decimal"/>
      <w:isLgl/>
      <w:lvlText w:val="%1.%2.%3.%4.%5.%6.%7.%8.%9."/>
      <w:lvlJc w:val="left"/>
      <w:pPr>
        <w:ind w:left="5040" w:hanging="1800"/>
      </w:pPr>
      <w:rPr>
        <w:rFonts w:ascii="Palatino Linotype" w:hAnsi="Palatino Linotype" w:cs="Times New Roman" w:hint="default"/>
      </w:rPr>
    </w:lvl>
  </w:abstractNum>
  <w:abstractNum w:abstractNumId="2" w15:restartNumberingAfterBreak="0">
    <w:nsid w:val="400A798F"/>
    <w:multiLevelType w:val="hybridMultilevel"/>
    <w:tmpl w:val="57502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E7C"/>
    <w:rsid w:val="00216F80"/>
    <w:rsid w:val="00237032"/>
    <w:rsid w:val="002E37E9"/>
    <w:rsid w:val="00321C8F"/>
    <w:rsid w:val="00365CEB"/>
    <w:rsid w:val="0069393D"/>
    <w:rsid w:val="008B0297"/>
    <w:rsid w:val="00985239"/>
    <w:rsid w:val="009C7B97"/>
    <w:rsid w:val="00A25E71"/>
    <w:rsid w:val="00B76E8E"/>
    <w:rsid w:val="00C42E7C"/>
    <w:rsid w:val="00DD6116"/>
    <w:rsid w:val="00E062F0"/>
    <w:rsid w:val="00EA0758"/>
    <w:rsid w:val="00EA669D"/>
    <w:rsid w:val="00F56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3C31C"/>
  <w15:chartTrackingRefBased/>
  <w15:docId w15:val="{C60F8156-E0C6-4468-B382-758F6850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6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6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A669D"/>
    <w:pPr>
      <w:ind w:left="720"/>
      <w:contextualSpacing/>
    </w:pPr>
  </w:style>
  <w:style w:type="character" w:styleId="Hyperlink">
    <w:name w:val="Hyperlink"/>
    <w:basedOn w:val="DefaultParagraphFont"/>
    <w:uiPriority w:val="99"/>
    <w:unhideWhenUsed/>
    <w:rsid w:val="00EA669D"/>
    <w:rPr>
      <w:color w:val="0563C1" w:themeColor="hyperlink"/>
      <w:u w:val="single"/>
    </w:rPr>
  </w:style>
  <w:style w:type="paragraph" w:styleId="Header">
    <w:name w:val="header"/>
    <w:basedOn w:val="Normal"/>
    <w:link w:val="HeaderChar"/>
    <w:uiPriority w:val="99"/>
    <w:unhideWhenUsed/>
    <w:rsid w:val="00EA66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69D"/>
  </w:style>
  <w:style w:type="character" w:customStyle="1" w:styleId="ListParagraphChar">
    <w:name w:val="List Paragraph Char"/>
    <w:link w:val="ListParagraph"/>
    <w:uiPriority w:val="34"/>
    <w:locked/>
    <w:rsid w:val="00365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ankrespublika.az/az/pages/kompleks-bank-xidmeti-muqavilesi_13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Karimov Nurlan Namig</dc:creator>
  <cp:keywords/>
  <dc:description/>
  <cp:lastModifiedBy>Karimov Nurlan Namig</cp:lastModifiedBy>
  <cp:revision>12</cp:revision>
  <dcterms:created xsi:type="dcterms:W3CDTF">2024-02-01T05:31:00Z</dcterms:created>
  <dcterms:modified xsi:type="dcterms:W3CDTF">2024-02-08T05:46:00Z</dcterms:modified>
</cp:coreProperties>
</file>